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430" w:rsidRDefault="00F97220">
      <w:pPr>
        <w:rPr>
          <w:rFonts w:ascii="Times New Roman" w:hAnsi="Times New Roman" w:cs="Times New Roman"/>
          <w:sz w:val="28"/>
          <w:szCs w:val="28"/>
        </w:rPr>
      </w:pPr>
      <w:r w:rsidRPr="00F97220">
        <w:rPr>
          <w:rFonts w:ascii="Times New Roman" w:hAnsi="Times New Roman" w:cs="Times New Roman"/>
          <w:sz w:val="28"/>
          <w:szCs w:val="28"/>
        </w:rPr>
        <w:t>Вскрытие месторождений штольнями. Относительно залежи штольня может быть пройдена как в лежачем, так и в висячем боку залежи, что определяется положением залежи относит</w:t>
      </w:r>
      <w:r>
        <w:rPr>
          <w:rFonts w:ascii="Times New Roman" w:hAnsi="Times New Roman" w:cs="Times New Roman"/>
          <w:sz w:val="28"/>
          <w:szCs w:val="28"/>
        </w:rPr>
        <w:t>ельно склона</w:t>
      </w:r>
      <w:r w:rsidRPr="00F97220">
        <w:rPr>
          <w:rFonts w:ascii="Times New Roman" w:hAnsi="Times New Roman" w:cs="Times New Roman"/>
          <w:sz w:val="28"/>
          <w:szCs w:val="28"/>
        </w:rPr>
        <w:t>. При выборе места расположения устья штольни необходимо учитывать следующие обстоятельства. Устье штольни должно быть расположено выше уровня воды при разливе реки, протекающей в долине. Склон горы должен быть не подвержен оползням и лавинам; необходимо иметь площадку, на которой располагаются поверхностные сооружения (бытовой комбинат с обслуживающими помещениями). Руду от штольни часто транспортируют с помощью подвесной дороги, приемную станцию которой располагают возле  устья штольни. Доставку людей нередко производят также по подвесной дороге независимо от грузовой, что требует создания специальной приемной станции. Наконец возле устья штольни часто приходится сооружать механическую мастерскую и электрическую подстанцию. Условия применения: гористый рельеф местности, угол падения залежи ≥ 40º.</w:t>
      </w:r>
    </w:p>
    <w:p w:rsidR="00F97220" w:rsidRDefault="00F97220">
      <w:pPr>
        <w:rPr>
          <w:rFonts w:ascii="Palatino Linotype" w:hAnsi="Palatino Linotype"/>
          <w:color w:val="000000"/>
          <w:sz w:val="20"/>
          <w:szCs w:val="20"/>
          <w:shd w:val="clear" w:color="auto" w:fill="FFFFFF"/>
        </w:rPr>
      </w:pPr>
      <w:r>
        <w:rPr>
          <w:noProof/>
          <w:lang w:eastAsia="ru-RU"/>
        </w:rPr>
        <w:drawing>
          <wp:inline distT="0" distB="0" distL="0" distR="0">
            <wp:extent cx="1790700" cy="2019300"/>
            <wp:effectExtent l="19050" t="0" r="0" b="0"/>
            <wp:docPr id="1" name="Рисунок 1" descr="Ð¡ÑÐµÐ¼Ð° Ð²ÑÐºÑÑÑÐ¸Ñ Ð¼ÐµÑÑÐ¾ÑÐ¾Ð¶Ð´ÐµÐ½Ð¸Ñ ÑÑÐ¾Ð»ÑÐ½ÐµÐ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ÑÐµÐ¼Ð° Ð²ÑÐºÑÑÑÐ¸Ñ Ð¼ÐµÑÑÐ¾ÑÐ¾Ð¶Ð´ÐµÐ½Ð¸Ñ ÑÑÐ¾Ð»ÑÐ½ÐµÐ¹"/>
                    <pic:cNvPicPr>
                      <a:picLocks noChangeAspect="1" noChangeArrowheads="1"/>
                    </pic:cNvPicPr>
                  </pic:nvPicPr>
                  <pic:blipFill>
                    <a:blip r:embed="rId4" cstate="print"/>
                    <a:srcRect/>
                    <a:stretch>
                      <a:fillRect/>
                    </a:stretch>
                  </pic:blipFill>
                  <pic:spPr bwMode="auto">
                    <a:xfrm>
                      <a:off x="0" y="0"/>
                      <a:ext cx="1790700" cy="2019300"/>
                    </a:xfrm>
                    <a:prstGeom prst="rect">
                      <a:avLst/>
                    </a:prstGeom>
                    <a:noFill/>
                    <a:ln w="9525">
                      <a:noFill/>
                      <a:miter lim="800000"/>
                      <a:headEnd/>
                      <a:tailEnd/>
                    </a:ln>
                  </pic:spPr>
                </pic:pic>
              </a:graphicData>
            </a:graphic>
          </wp:inline>
        </w:drawing>
      </w:r>
      <w:r>
        <w:rPr>
          <w:rFonts w:ascii="Palatino Linotype" w:hAnsi="Palatino Linotype"/>
          <w:color w:val="000000"/>
          <w:sz w:val="20"/>
          <w:szCs w:val="20"/>
          <w:shd w:val="clear" w:color="auto" w:fill="FFFFFF"/>
        </w:rPr>
        <w:t> Схема вскрытия месторождения штольней</w:t>
      </w:r>
    </w:p>
    <w:p w:rsidR="00F97220" w:rsidRDefault="00F97220">
      <w:pPr>
        <w:rPr>
          <w:rFonts w:ascii="Palatino Linotype" w:hAnsi="Palatino Linotype"/>
          <w:color w:val="000000"/>
          <w:sz w:val="20"/>
          <w:szCs w:val="20"/>
          <w:shd w:val="clear" w:color="auto" w:fill="FFFFFF"/>
        </w:rPr>
      </w:pPr>
    </w:p>
    <w:p w:rsidR="00F97220" w:rsidRPr="00F97220" w:rsidRDefault="00F97220">
      <w:pPr>
        <w:rPr>
          <w:rFonts w:ascii="Times New Roman" w:hAnsi="Times New Roman" w:cs="Times New Roman"/>
          <w:sz w:val="28"/>
          <w:szCs w:val="28"/>
        </w:rPr>
      </w:pPr>
      <w:r w:rsidRPr="00F97220">
        <w:rPr>
          <w:rFonts w:ascii="Times New Roman" w:hAnsi="Times New Roman" w:cs="Times New Roman"/>
          <w:sz w:val="28"/>
          <w:szCs w:val="28"/>
        </w:rPr>
        <w:t xml:space="preserve">Достоинства: простая схема транспортирования руды, отсутствие пунктов перегрузки руды и связанных с ними устройств, возможность применения автотранспорта в подземных условиях, меньшая стоимость поверхностных сооружений у устья штольни ввиду отсутствия копра, надшахтного здания и подъемной машины, отсутствие затрат на водоотлив. Недостатки: ограниченная область применения, сложность </w:t>
      </w:r>
      <w:proofErr w:type="gramStart"/>
      <w:r w:rsidRPr="00F97220">
        <w:rPr>
          <w:rFonts w:ascii="Times New Roman" w:hAnsi="Times New Roman" w:cs="Times New Roman"/>
          <w:sz w:val="28"/>
          <w:szCs w:val="28"/>
        </w:rPr>
        <w:t>выбора места заложения устья штольни</w:t>
      </w:r>
      <w:proofErr w:type="gramEnd"/>
      <w:r w:rsidRPr="00F97220">
        <w:rPr>
          <w:rFonts w:ascii="Times New Roman" w:hAnsi="Times New Roman" w:cs="Times New Roman"/>
          <w:sz w:val="28"/>
          <w:szCs w:val="28"/>
        </w:rPr>
        <w:t>.</w:t>
      </w:r>
    </w:p>
    <w:sectPr w:rsidR="00F97220" w:rsidRPr="00F97220" w:rsidSect="00DC14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7220"/>
    <w:rsid w:val="00DC1430"/>
    <w:rsid w:val="00F972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4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722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722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2019-05-26T13:22:00Z</dcterms:created>
  <dcterms:modified xsi:type="dcterms:W3CDTF">2019-05-26T13:27:00Z</dcterms:modified>
</cp:coreProperties>
</file>